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3F93BE56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ED35A7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4BCF4B30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4C707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6</w:t>
      </w:r>
    </w:p>
    <w:p w14:paraId="5B4D22A5" w14:textId="2E2FEB09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Date of Interview:</w:t>
      </w:r>
      <w:r w:rsidR="00ED35A7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01.04.2025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4FDEF26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5E2711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3C4139CF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4C7070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76CB3EB0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>1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 w:rsidR="00ED35A7">
        <w:rPr>
          <w:rFonts w:ascii="Arial Narrow" w:hAnsi="Arial Narrow" w:cs="Times New Roman"/>
          <w:b/>
          <w:sz w:val="20"/>
          <w:szCs w:val="20"/>
          <w:u w:val="single"/>
        </w:rPr>
        <w:t>PA-V</w:t>
      </w:r>
      <w:r w:rsidR="004C7070">
        <w:rPr>
          <w:rFonts w:ascii="Arial Narrow" w:hAnsi="Arial Narrow" w:cs="Times New Roman"/>
          <w:b/>
          <w:sz w:val="20"/>
          <w:szCs w:val="20"/>
          <w:u w:val="single"/>
        </w:rPr>
        <w:t>II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ED35A7" w:rsidRPr="00E51331" w14:paraId="3755DE2F" w14:textId="77777777" w:rsidTr="00ED35A7">
        <w:trPr>
          <w:trHeight w:val="262"/>
        </w:trPr>
        <w:tc>
          <w:tcPr>
            <w:tcW w:w="4354" w:type="dxa"/>
          </w:tcPr>
          <w:p w14:paraId="09726917" w14:textId="23858B32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6CF2ED4C" w14:textId="3CFF965B" w:rsidR="00ED35A7" w:rsidRDefault="004C7070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Assessment of the Effects of </w:t>
            </w:r>
            <w:proofErr w:type="spellStart"/>
            <w:r>
              <w:rPr>
                <w:rFonts w:ascii="Arial Narrow" w:hAnsi="Arial Narrow"/>
              </w:rPr>
              <w:t>Microplastic</w:t>
            </w:r>
            <w:proofErr w:type="spellEnd"/>
            <w:r>
              <w:rPr>
                <w:rFonts w:ascii="Arial Narrow" w:hAnsi="Arial Narrow"/>
              </w:rPr>
              <w:t xml:space="preserve"> ingestion on Gut Microbiome, Physiological Parameters, and Meat Quality in </w:t>
            </w:r>
            <w:proofErr w:type="spellStart"/>
            <w:r>
              <w:rPr>
                <w:rFonts w:ascii="Arial Narrow" w:hAnsi="Arial Narrow"/>
              </w:rPr>
              <w:t>Etroplus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Suratensis</w:t>
            </w:r>
            <w:proofErr w:type="spellEnd"/>
            <w:r>
              <w:rPr>
                <w:rFonts w:ascii="Arial Narrow" w:hAnsi="Arial Narrow"/>
              </w:rPr>
              <w:t>: Insight into Reversal Potential after Cessation of Exposure.</w:t>
            </w:r>
          </w:p>
        </w:tc>
      </w:tr>
      <w:tr w:rsidR="00ED35A7" w:rsidRPr="00E51331" w14:paraId="049863AA" w14:textId="77777777" w:rsidTr="00ED35A7">
        <w:trPr>
          <w:trHeight w:val="362"/>
        </w:trPr>
        <w:tc>
          <w:tcPr>
            <w:tcW w:w="4354" w:type="dxa"/>
          </w:tcPr>
          <w:p w14:paraId="4D94F0F8" w14:textId="5A64D418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ED35A7" w:rsidRPr="00E51331" w:rsidRDefault="00ED35A7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6136EB85" w14:textId="77777777" w:rsidR="004C7070" w:rsidRDefault="004C7070" w:rsidP="004C7070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</w:t>
            </w:r>
            <w:r w:rsidRPr="00E51331">
              <w:rPr>
                <w:rFonts w:ascii="Arial Narrow" w:hAnsi="Arial Narrow"/>
              </w:rPr>
              <w:t>5,000/- per month (Consolidated)</w:t>
            </w:r>
          </w:p>
          <w:p w14:paraId="446CD78E" w14:textId="77777777" w:rsidR="00ED35A7" w:rsidRPr="00E51331" w:rsidRDefault="00ED35A7" w:rsidP="00ED35A7">
            <w:pPr>
              <w:jc w:val="both"/>
              <w:rPr>
                <w:rFonts w:ascii="Arial Narrow" w:hAnsi="Arial Narrow"/>
              </w:rPr>
            </w:pPr>
          </w:p>
        </w:tc>
      </w:tr>
      <w:tr w:rsidR="00ED35A7" w:rsidRPr="00E51331" w14:paraId="332CF966" w14:textId="77777777" w:rsidTr="00ED35A7">
        <w:trPr>
          <w:trHeight w:val="362"/>
        </w:trPr>
        <w:tc>
          <w:tcPr>
            <w:tcW w:w="4354" w:type="dxa"/>
          </w:tcPr>
          <w:p w14:paraId="1909F6A6" w14:textId="0B775DB9" w:rsidR="00ED35A7" w:rsidRDefault="00ED35A7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62A5A9D1" w:rsidR="00ED35A7" w:rsidRPr="00E51331" w:rsidRDefault="004C7070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02E1270F" w14:textId="4D404E19" w:rsidR="00ED35A7" w:rsidRDefault="004C7070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the field of Microbiology/ Biotechnology/ Fishery Microbiology/ Fish pathology/ or any life sciences</w:t>
            </w:r>
          </w:p>
        </w:tc>
      </w:tr>
      <w:tr w:rsidR="004C7070" w:rsidRPr="00E51331" w14:paraId="5BC0F274" w14:textId="77777777" w:rsidTr="00ED35A7">
        <w:trPr>
          <w:trHeight w:val="362"/>
        </w:trPr>
        <w:tc>
          <w:tcPr>
            <w:tcW w:w="4354" w:type="dxa"/>
          </w:tcPr>
          <w:p w14:paraId="643531FD" w14:textId="3445539E" w:rsidR="004C7070" w:rsidRDefault="004C7070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Desirable Qualification</w:t>
            </w:r>
          </w:p>
        </w:tc>
        <w:tc>
          <w:tcPr>
            <w:tcW w:w="282" w:type="dxa"/>
          </w:tcPr>
          <w:p w14:paraId="67CB92EC" w14:textId="08709377" w:rsidR="004C7070" w:rsidRPr="00E51331" w:rsidRDefault="004C7070" w:rsidP="00ED35A7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07D043AD" w14:textId="0346E5E2" w:rsidR="004C7070" w:rsidRDefault="004C7070" w:rsidP="00ED35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 in bioinformatics, metagenomics data analysis, and molecular microbiology techniques.</w:t>
            </w:r>
          </w:p>
        </w:tc>
      </w:tr>
    </w:tbl>
    <w:p w14:paraId="65328EF3" w14:textId="4E06C1FF" w:rsidR="00C60EFF" w:rsidRPr="00073E5B" w:rsidRDefault="00C60EFF" w:rsidP="00C60EFF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44D2109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  <w:bookmarkStart w:id="0" w:name="_GoBack"/>
      <w:bookmarkEnd w:id="0"/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67B70F11" w14:textId="02E78EDB" w:rsidR="00A451A2" w:rsidRPr="00680F1F" w:rsidRDefault="00821B5D" w:rsidP="00E9444A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54EB9B0B" w:rsidR="00821B5D" w:rsidRPr="008B1074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6DA7D803" w14:textId="77777777" w:rsidR="008B1074" w:rsidRPr="006B0193" w:rsidRDefault="008B1074" w:rsidP="004C7070">
      <w:pPr>
        <w:pStyle w:val="ListParagraph"/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0BC8D776" w14:textId="2336FC06" w:rsidR="00C03A56" w:rsidRPr="00E51331" w:rsidRDefault="00006619" w:rsidP="00006619">
      <w:pPr>
        <w:spacing w:after="0"/>
        <w:ind w:right="-42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5133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  <w:r w:rsidR="00DD4249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</w:t>
      </w:r>
      <w:r w:rsidR="00CE120A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</w:t>
      </w:r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</w:t>
      </w:r>
      <w:proofErr w:type="spellStart"/>
      <w:proofErr w:type="gramStart"/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>Sd</w:t>
      </w:r>
      <w:proofErr w:type="spellEnd"/>
      <w:proofErr w:type="gramEnd"/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>/-</w:t>
      </w:r>
    </w:p>
    <w:p w14:paraId="24A49055" w14:textId="615AC639" w:rsidR="0001370D" w:rsidRDefault="003D3D72" w:rsidP="00E9444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444A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4C7070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4D41"/>
    <w:rsid w:val="001D5793"/>
    <w:rsid w:val="001E28ED"/>
    <w:rsid w:val="001E2E42"/>
    <w:rsid w:val="001E7451"/>
    <w:rsid w:val="001E7700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070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2711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1074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444A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35A7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573</cp:revision>
  <cp:lastPrinted>2025-03-17T15:29:00Z</cp:lastPrinted>
  <dcterms:created xsi:type="dcterms:W3CDTF">2018-11-13T04:32:00Z</dcterms:created>
  <dcterms:modified xsi:type="dcterms:W3CDTF">2025-03-19T11:31:00Z</dcterms:modified>
</cp:coreProperties>
</file>